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2026-000125 vom 11. Februar 2026</w:t>
      </w:r>
    </w:p>
    <w:p>
      <w:r>
        <w:t>Ag Regierungsrat, 2026-02-11, DE</w:t>
      </w:r>
    </w:p>
    <w:p>
      <w:r>
        <w:rPr>
          <w:b/>
        </w:rPr>
        <w:t xml:space="preserve">Quelle: </w:t>
      </w:r>
      <w:r>
        <w:t>https://mcp.opencaselaw.ch/entscheid/ag_regierungsrat_RRB Nr. 2026-000125</w:t>
      </w:r>
    </w:p>
    <w:p>
      <w:r>
        <w:t>FR: AG_REGIERUNGSRAT RRB Nr. 2026-000125 du 11 février 2026</w:t>
      </w:r>
    </w:p>
    <w:p>
      <w:r>
        <w:t>IT: AG_REGIERUNGSRAT RRB Nr. 2026-000125 del 11 febbraio 2026</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DVI vorliegend lediglich beratende Stimme bezie- hungsweise befindet sich im institutionellen Ausstand.</w:t>
      </w:r>
    </w:p>
    <w:p>
      <w:r>
        <w:rPr>
          <w:b/>
        </w:rPr>
        <w:t>E. 2</w:t>
      </w:r>
    </w:p>
    <w:p>
      <w:r>
        <w:t>von 8</w:t>
      </w:r>
    </w:p>
    <w:p>
      <w:r>
        <w:t>Im vorliegenden Fall ergibt sich aufgrund der vorerwähnten Bestimmungen, dass die Kompetenz zum Entscheid über die Beschwerde beim Regierungsrat verbleibt.</w:t>
      </w:r>
    </w:p>
    <w:p>
      <w:r>
        <w:rPr>
          <w:b/>
        </w:rPr>
        <w:t>E. 3</w:t>
      </w:r>
    </w:p>
    <w:p>
      <w:r>
        <w:t>Die Beschwerdeführerin erhielt mit Verfügung vom 4. Juni 2021 für den Zeitraum vom 1. November 2020 bis 31. Oktober 2021 Fixkostenbeiträge in der Höhe von Fr. 55'085.–. Mit dem angefochtenen Entscheid widerruft das AWA diese Verfügung und verlangt von der Beschwerdeführerin die Rück- zahlung von Fr. 19'895.–. Es begründet diesen Widerruf mit dem Umstand, dass Leistungen eines internen Leistungsaustauschs zwischen der Beschwerdeführerin und ihrer Schwestergesellschaft, dem Einzelunternehmen F._____, , Q._____, sich nicht zweifelsfrei überprüfen liessen und folglich für die Überprüfung der Härtefallleistungen zu ignorieren seien. Entsprechend ergäbe sich ein tiefe- rer Umsatz für das Jahr 2018, als in der Jahresrechnung ausgewiesen wurde und damit ein niedrige- rer Umsatzrückgang für das Jahr 2020. Die Beschwerdeführerin macht demgegenüber geltend, dass das AWA die tatsächlichen Umstände des Einzelfalls falsch würdige, indem effektive Umsätze zulasten der Beschwerdeführerin in den Jah- ren 2018 fälschlicherweise und willkürlich vom richtigen Umsatz der Jahresrechnungen in Abzug ge- bracht worden seien.</w:t>
      </w:r>
    </w:p>
    <w:p>
      <w:r>
        <w:rPr>
          <w:b/>
        </w:rPr>
        <w:t>E. 4</w:t>
      </w:r>
    </w:p>
    <w:p>
      <w:r>
        <w:t>von 8</w:t>
      </w:r>
    </w:p>
    <w:p>
      <w:r>
        <w:t>Die Beschwerdeführerin sieht in der vom AWA vorgenommenen Nichtberücksichtigung des Betrags in der Höhe von Fr. 185'701.02 ein willkürliches Verhalten der kantonalen Behörde. Es bestünden keine relevanten Anhaltspunkte, welche dieses Vorgehen stützen würden. Der Umsatz dürfe nicht bereinigt werden, sodass im Ergebnis keine Rückforderung geschuldet sei. Weiter führt sie aus, dass der Betrag in der Höhe von Fr. 185'701.02 zuzüglich Mehrwertsteuer auf Seiten der F._____, , ver- bucht worden sei.</w:t>
      </w:r>
    </w:p>
    <w:p>
      <w:r>
        <w:rPr>
          <w:b/>
        </w:rPr>
        <w:t>E. 4.1</w:t>
      </w:r>
    </w:p>
    <w:p>
      <w:r>
        <w:t>Es ist nachfolgend zu prüfen, ob der vom AWA mit angefochtener Verfügung vom 1. April 2025 an- geordnete Widerruf der Verfügung vom 4. Juni 2021 (Verfügung zu Gesuch Nr. 300812, Fixkosten- beiträge für Unternehmen mit hohen Umsatzeinbussen gemäss § 7d SonderV 20-2) rechtmässig war.</w:t>
      </w:r>
    </w:p>
    <w:p>
      <w:r>
        <w:rPr>
          <w:b/>
        </w:rPr>
        <w:t>E. 4.2</w:t>
      </w:r>
    </w:p>
    <w:p>
      <w:r>
        <w:t>Der Widerruf kommt nur bei fehlerhaften Verfügungen in Betracht, wobei die Fehlerhaftigkeit ur- sprünglicher oder nachträglicher Natur sein kann. Die ursprünglich fehlerhafte Verfügung ist von An- fang an mit einem Rechtsfehler behaftet, nachträgliche Fehlerhaftigkeit liegt hingegen vor, wenn seit dem Ergehen der Verfügung eine Änderung der Rechtsgrundlagen oder eine erhebliche Verände- rung der tatsächlichen Verhältnisse eingetreten ist (vgl. ULRICH HÄFELIN/GEORG MÜLLER/FELIX UHLMANN, Allgemeines Verwaltungsrecht, 8. Auflage, Zürich/St. Gallen 2020, N 1229). Der Wider- ruf ist das Instrument für die verfügende Behörde oder die Aufsichtsbehörde, eine Verfügung aus Gründen des öffentlichen Interesses abzuändern, gegebenenfalls gegen den Willen aller von der ur- sprünglichen Verfügung Betroffenen (vgl. Aargauische Gerichts- und Verwaltungsentscheide [AGVE] 1996, S. 286 mit Hinweisen). Ein Widerruf von Verfügung bei fehlerhaften Verfügungen ist demnach möglich, sofern eine entsprechende rechtliche Grundlage besteht. Weder die bundesrechtliche Verordnung über Härtefallmassnahmen für Unternehmen im Zusam- menhang mit der Covid-19-Pandemie (Covid-19-Härtefallverordnung) vom 25. November 2020 (in den Fassungen vom 14. Januar 2021 sowie vom 1. April 2021) noch die kantonale Sonderverord- nung 2 zur Abfederung der wirtschaftlichen Auswirkungen der COVID-19-Pandemie (SonderV 20-2) vom 15. April 2020 (in den Fassungen vom 14. Januar 2021 sowie vom 1. Mai 2021) sehen spezial- gesetzliche Widerrufsbestimmungen für erlassene Verfügungen vor. Gemäss § 37 Abs. 1 VRPG können Entscheide, die der Rechtslage oder den sachlichen Erfordernis- sen nicht entsprechen, durch die erlassene Behörde oder die Aufsichtsbehörde geändert oder aufge- hoben werden, wenn das Interesse an der richtigen Rechtsanwendung die Interessen der Rechtssi- cherheit und des Vertrauensschutzes überwiegt. Das VRPG findet für Verfahren vor den Verwaltungs- und Verwaltungsjustizbehörden Anwendung, Sonderbestimmungen in anderen Erlas- 3 von 8</w:t>
      </w:r>
    </w:p>
    <w:p>
      <w:r>
        <w:t>sen vorbehalten (§ 1 VRPG). Es besteht mithin im allgemeinen kantonalen Verwaltungsrecht auf Ge- setzesstufe eine Regelung für den Widerruf von Verfügungen. Demnach ist das Erfordernis einer rechtlichen Grundlage erfüllt.</w:t>
      </w:r>
    </w:p>
    <w:p>
      <w:r>
        <w:rPr>
          <w:b/>
        </w:rPr>
        <w:t>E. 4.3</w:t>
      </w:r>
    </w:p>
    <w:p>
      <w:r>
        <w:t>Erste Voraussetzung für einen Widerruf ist folglich, dass ein Entscheid vorliegt, welcher der Rechts- lage oder den sachlichen Erfordernissen nicht entspricht.</w:t>
      </w:r>
    </w:p>
    <w:p>
      <w:r>
        <w:rPr>
          <w:b/>
        </w:rPr>
        <w:t>E. 4.3.1</w:t>
      </w:r>
    </w:p>
    <w:p>
      <w:r>
        <w:t>Das AWA begründet die Rückforderung damit, dass in der vorliegenden Konstellation eine spezielle Verbundenheit der Beschwerdeführerin mit dem Einzelunternehmen F._____, , zu beachten sei. In den Jahresrechnungen der beiden Schwestergesellschaften liessen sich die Umsätze der Jahre 2018–2020 entnehmen. Dabei sei bei der Beschwerdeführerin ausschliesslich im Geschäftsjahr 2018 ein interner Ertrag über Fr. 185'701.02 ausgewiesen worden. Diese Umsatzverbuchung habe Auswir- kungen auf die Umsatzbasis der Geschäftsjahre 2018/19, welche mit dem Umsatz des Jahrs 2020 zu vergleichen sei, wenn es um die Anspruchsberechtigung von Härtefallleistungen gemäss § 7d SonderV 20-2 gehe. Sich auf den internen Umsatz von Fr. 185'701.02 fokussierend hält das AWA fest, dass die Be- schwerdeführerin der Schwestergesellschaft mit Datum vom 31. Dezember 2018 eine Rechnung über Fr. 185'701.02 (Fr. 172'424.35 netto, zuzüglich der Mehrwertsteuer über Fr. 13'276.67) ausge- stellt habe, welche auf dem Konto 3006 Warenertrag 7,7 % unter "Diverse Einnahmen" verbucht wor- den sei. Im Unterschied zu allen anderen Erträgen dieses Kontos sei jener genannte Ertrag als einzi- ger inklusive Mehrwertsteuer verbucht worden. Die Mehrwertsteuer aller anderen Erträge sei demgegenüber in den Details zu Konto 2213 Mehrwertsteuer auf Umsatz 7,7 % enthalten. Weiter führe jenes Konto 2213 Mehrwertsteuer auf Umsatz 7,7 % mit Datum 31. Dezember 2018 eine Bu- chung "Diverse Einnahmen" über Fr. 14'298.98 auf. Hierbei handele es sich um die Mehrwertsteuer des internen Umsatzes von Fr. 185'701.02. Der so unterstellte interne Bruttoumsatz betrüge demge- mäss Fr. 200'000.–, was einen Widerspruch zu der Rechnung über Fr. 185'701.02 begründe. Des Weiteren weise das Konto 2001 Kreditoren CHF, das Gegenkonto des Kontos 3006 Warenertrag 7,7 %, den Eintrag, mit Datum vom 31. Dezember 2018, "Diverse Einnahmen" über den Betrag von Fr. 200'000.– auf, womit Konto und Gegenkonto nicht den gleichen Betrag aufweisen würden. Das AWA leitete aus den beschriebenen Umständen ab, dass die Beschwerdeführerin den Grund- sätzen einer ordnungsgemässen Buchführung keine Beachtung geschenkt habe. Das AWA hält fest, dass sich ein solch interner Leistungsaustausch immer auf zwei Seiten auswirken müsse. In der Erfolgsrechnung des Einzelunternehmens F._____, , fehle jedoch der Aufwand ge- mäss der Rechnung vom 31. Dezember 2018. Mit Verweis auf die nicht zuverlässig nachvollziehbaren Buchungsunterlagen sowie auf die fehlenden korrespondierenden Aufwandbuchungen bei der Schwestergesellschaft ignoriert das AWA den Er- trag über Fr. 185'701.02 für das Jahr 2018 für die Überprüfung der Härtefallleistungen. Interne Um- satzbuchungen, so das AWA, könnten das Bild bei der Prüfung der Anspruchsberechtigung von Här- tefallleistungen beeinflussen und müssten ignoriert werden, wenn solch interne Geschäftsvorfälle nicht dem Grundsatz des "Dealing at arm's Length" entsprächen oder – wie vorliegend – nur in ei- nem einzigen Jahr erfolgen würden. Unter Weglassen dieses gruppeninternen Ertrags stellt das AWA eine Rechnung auf, die der Beschwerdeführerin für das Jahr 2018 einen tieferen Umsatz und damit für das Jahr 2010 einen niedrigeren Umsatzrückgang unterstellt, woraus ebenfalls ein niedrige- rer ungedeckter Fixkostenbetrag resultiert, der schlussendlich in einen Rückforderungsbetrag über Fr. 19'895.– mündet.</w:t>
      </w:r>
    </w:p>
    <w:p>
      <w:r>
        <w:rPr>
          <w:b/>
        </w:rPr>
        <w:t>E. 4.3.3</w:t>
      </w:r>
    </w:p>
    <w:p>
      <w:r>
        <w:t>Gemäss § 7d Abs. 1 SonderV 20-2 können auf Gesuch hin nicht rückzahlbare Beiträge an Unterneh- men ausgerichtet werden, deren Umsatzeinbusse im Jahr 2020 im Zusammenhang mit behördlich angeordneten Massnahmen zur Bekämpfung der Covid-19-Epidemie im Vergleich zum durchschnitt- lichen Jahresumsatz der Jahre 2018 und 2019 40 % oder mehr beträgt. Die Umsatzeinbusse muss demnach mindestens 40 % betragen. Vorliegend ist strittig, ob der gruppeninterne Ertrag zwischen der Beschwerdeführerin und dem Ein- zelunternehmen F._____, , in der Höhe von Fr. 185'701.02, berücksichtigt werden darf oder nicht. Nur im Fall einer Nichtbeachtung dieses Betrags bei der Berechnung des massgebenden Umsatzes für das Jahr 2018 wäre ein Widerruf der Verfügung des AWA vom 4. Juni 2021 dem Grundsatz nach überhaupt erst denkbar. Das AWA geht in seiner Argumentation von einer Nichtbeachtung der Grundsätze einer ordnungs- gemässen Buchführung aus und leitet insbesondere aus diesem Umstand eine Kürzung des Umsat- zes für das Jahr 2018 auf Fr. 181'197.13 ab. Die Beschwerdeführerin behauptet demgegenüber die ordnungsgemässe Verbuchung der Vorgänge. Mit Rechnung Nr. A vom 31. Dezember 2018 stellt die Beschwerdeführerin dem Einzelunternehmen F._____, , eine Rechnung über Fr. 185'701.02 für angesammeltes Material aus Produktion und Dienstleistungen in Rechnung (Rechnungsbetrag inklusive Mehrwertsteuer). Eine gleiche Rechnung mit demselben Datum und Verwendungszweck weist jedoch einen Rechnungsbetrag über Fr. 200'000.– auf (Rechnungsbetrag über Fr. 185'701.02 plus Hinzurechnung der Mehrwertsteuer in der Höhe von 14'298.98). Dass Dienstleistungen eines Unternehmens für ein anderes Unternehmen Letzterem in Rechnung gestellt werden, ist nicht zu beanstanden, ist es doch marktwirtschaftlich üblich, betriebswirtschaftli- che Tätigkeiten auch zwischen Unternehmen, die eine grössere Nähe zueinander aufweisen als dritte Unternehmungen, stattfinden zu lassen. Die Beschwerdeführerin hat den Netto-Rechnungsbe- trag über Fr. 185'701.02 im Konto 3006 Warenertrag 7,7 % und die Mehrwertsteuer in der Höhe von Fr. 14'298.98 im Konto 2213 Mehrwertsteuer auf Umsatz 7,7 % verbucht. Gleichzeitig weist das Konto 2001 Kreditoren CHF einen Betrag in der Höhe von Fr. 200'000.– aus. In den Büchern findet sich damit jene der beiden Rechnungen der Beschwerdeführerin, welche von einem Netto-Rech- nungsbetrag über Fr. 185'701.02 ausgeht. Der in den Büchern ausgewiesene Betrag der Fr. 200'000.– stimmt folglich grundsätzlich mit dem überein, was sich anhand einer Rechnungsver- sion belegen lässt, wenn auch nicht restlos nachvollzogen werden kann, warum zwei Rechnungsver- sionen existieren. Ob eine Verletzung der Grundsätze der ordnungsgemässen Buchführung, wie vom AWA behauptet, zu bejahen ist, darf im Hinblick auf das vorliegende Beschwerdeverfahren offenblei- ben. Die Beschwerdeführerin ist auf die Richtigkeit ihrer Jahresrechnung zu behaften und diese steht nicht im Widerspruch zu einer Rechnung der Beschwerdeführerin an die F._____, , in der Höhe von Fr. 200'000.– brutto. Fest steht, dass die Beschwerdeführerin Produktionen und Dienstleistungen für das Einzelunterneh- men F._____, , erbracht hat, welche finanziell abgegolten worden sind. Anders als vom AWA unter- stellt, ist nicht ersichtlich, inwiefern die zwei miteinander verbundenen Unternehmen ein Geschäft eingegangen wären, welches untereinander fremde Dritte nicht eingegangen wären ("Dealing at arm's Length"). Die Rechnung der Beschwerdeführerin vom 31. Dezember 2018 über Fr. 200'000.–</w:t>
      </w:r>
    </w:p>
    <w:p>
      <w:r>
        <w:rPr>
          <w:b/>
        </w:rPr>
        <w:t>E. 4.4</w:t>
      </w:r>
    </w:p>
    <w:p>
      <w:r>
        <w:t>Im Ergebnis kann das AWA nicht genügend begründet darlegen, weshalb der Geschäftsvorfall der Rechnung der Beschwerdeführerin an das Einzelunternehmen, F._____, , vom 31. Dezember 2018 nicht berücksichtigt werden soll. Es wurden von der Beschwerdeführerin Leistungen für das Einzel- unternehmen, F._____, , erbracht, welche von Letzterem bezahlt worden sind. Die Rechnung ist als solche nicht zu beanstanden und ein Verstoss gegen den Grundsatz des "Dealing at arm's Length" konnte vom AWA nicht hinreichend begründet werden. In der Folge löste die massgebende Rech- nung Buchungen bei der Beschwerdeführerin aus. Zwar ist nicht ohne Weiteres ersichtlich, warum zwei Rechnungen unterschiedlichen Betrages erstellt worden sind. Jedoch reicht dies nicht aus, um den Rechnungsbetrag bei der Ermittlung des Umsatzes nicht zu berücksichtigen.</w:t>
      </w:r>
    </w:p>
    <w:p>
      <w:r>
        <w:rPr>
          <w:b/>
        </w:rPr>
        <w:t>E. 5</w:t>
      </w:r>
    </w:p>
    <w:p>
      <w:r>
        <w:t>Zusammenfassend sind die Voraussetzungen für einen Widerruf der Verfügung vom 4. Juni 2021 nicht gegeben. Die Verfügung vom 4. Juni 2021 entspricht weiterhin der Rechtslage und den sachli- chen Erfordernissen. Die Beschwerde ist entsprechend gutzuheissen und die angefochtene Verfü- gung vom 1. April 2025 aufzuheben.</w:t>
      </w:r>
    </w:p>
    <w:p>
      <w:r>
        <w:rPr>
          <w:b/>
        </w:rPr>
        <w:t>E. 6</w:t>
      </w:r>
    </w:p>
    <w:p>
      <w:r>
        <w:t>von 8</w:t>
      </w:r>
    </w:p>
    <w:p>
      <w:r>
        <w:t>Die Höhe der Parteientschädigung ist im vorliegenden Fall gemäss § 8a des Dekrets über die Ent- schädigung der Anwälte (Anwaltstarif) vom 10. November 1987 nach dem Streitwert zu bestimmen, wobei sich die Berechnung des Streitwerts gemäss § 4 Anwaltstarif nach den Bestimmungen der Schweizerischen Zivilprozessordnung (Zivilprozessordnung, ZPO) vom 19. Dezember 2008 richtet. Gemäss Art. 91 ZPO wird der Streitwert durch das Rechtsbegehren bestimmt. Zinsen und Kosten des laufenden Verfahrens oder einer allfälligen Publikation des Entscheids sowie allfällige Eventual- begehren werden nicht hinzugerechnet. Lautet das Rechtsbegehren nicht auf eine bestimmte Geld- summe, so setzt das Gericht den Streitwert fest, sofern sich die Parteien darüber nicht einigen oder ihre Angaben offensichtlich unrichtig sind. Im vorliegenden Fall hat die Beschwerdeführerin die Aufhebung der angefochtenen Verfügung bean- tragt, welche eine Rückzahlung in der Höhe von Fr. 19'895.– anordnet. Somit ergibt sich ein Streit- wert von Fr. 19'895.–. Bei diesem Streitwert beträgt die Parteientschädigung gemäss § 8a Abs. 1 lit. a Ziff. 1 Anwaltstarif zwischen Fr. 600.– und Fr. 4'000.–. Innerhalb dieses Rahmens ist die Partei- entschädigung gemäss § 8 Abs. 2 Anwaltstarif nach dem mutmasslichen Aufwand des Rechtsvertre- ters, der Bedeutung und der Schwierigkeit des Falls festzulegen. Der vorliegende Fall wird als komplex erachtet. Neben der Beschwerdeschrift gab es einen weiteren Rechtsschriftenwechsel, der das Verfassen einer Replik nach sich zog. Angesichts des mutmassli- chen Aufwands des Vertreters, der Bedeutung und der Schwierigkeit des vorliegenden Verfahrens und der Verfahrensdauer seit August 2024 (Gewährung des rechtlichen Gehörs im vorinstanzlichen Verfahren vor dem AWA) rechtfertigt sich eine Entschädigung in der Höhe von Fr. 3'800.– (inklusive Auslagen und MwSt.). Davon ist die Mehrwertsteuer abzuziehen, da die Beschwerdeführerin mehr- wertsteuerpflichtig ist. Dies führt zu einem Betrag von Fr. 3'515.25. Beschluss 1. In Gutheissung der Beschwerde wird die Verfügung des Amts für Wirtschaft und Arbeit des Departe- ments Volkswirtschaft und Inneres vom 1. April 2025 aufgehoben. 2. Die Verfahrenskosten gehen zulasten der Staatskasse. 3. Der Beschwerdeführerin wird für das Beschwerdeverfahren vor dem Regierungsrat eine Parteient- schädigung in der Höhe von Fr. 3'515.25 aus der Staatskasse entrichtet.</w:t>
      </w:r>
    </w:p>
    <w:p>
      <w:r>
        <w:rPr>
          <w:b/>
        </w:rPr>
        <w:t>E. 6.1</w:t>
      </w:r>
    </w:p>
    <w:p>
      <w:r>
        <w:t>Im Beschwerdeverfahren werden die Verfahrenskosten in der Regel nach Massgabe des Unterlie- gens und Obsiegens auf die Parteien verlegt. Den Behörden werden Verfahrenskosten nur auferlegt, wenn sie schwerwiegende Verfahrensfehler begangen oder willkürlich entschieden haben (§ 31 Abs. 2 VRPG). Die Beschwerdeführerin ist mit ihrem Antrag auf vollumfängliche Aufhebung der an- gefochtenen Verfügung durchgedrungen und gilt damit als vollständig obsiegend. In casu ist weder von einem schweren Verfahrensmangel noch von Willkür auszugehen. Es rechtfer- tigt sich daher, die Verfahrenskosten auf die Staatskasse zu nehmen.</w:t>
      </w:r>
    </w:p>
    <w:p>
      <w:r>
        <w:rPr>
          <w:b/>
        </w:rPr>
        <w:t>E. 6.2</w:t>
      </w:r>
    </w:p>
    <w:p>
      <w:r>
        <w:t>Im Beschwerdeverfahren werden auch die Parteikosten in der Regel nach Massgabe des Unterlie- gens und Obsiegens auf die Parteien verlegt (§ 32 Abs. 2 VRPG).</w:t>
      </w:r>
    </w:p>
    <w:p>
      <w:r>
        <w:rPr>
          <w:b/>
        </w:rPr>
        <w:t>E. 7</w:t>
      </w:r>
    </w:p>
    <w:p>
      <w:r>
        <w:t>von 8</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